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5B5C5">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590" w:lineRule="exact"/>
        <w:ind w:left="0" w:right="0"/>
        <w:jc w:val="both"/>
        <w:textAlignment w:val="auto"/>
        <w:outlineLvl w:val="0"/>
        <w:rPr>
          <w:rFonts w:hint="eastAsia" w:ascii="方正小标宋简体" w:hAnsi="方正小标宋简体" w:eastAsia="方正小标宋简体" w:cs="方正小标宋简体"/>
          <w:b w:val="0"/>
          <w:bCs/>
          <w:kern w:val="2"/>
          <w:sz w:val="44"/>
          <w:szCs w:val="44"/>
          <w:lang w:val="en-US" w:eastAsia="zh-CN" w:bidi="ar"/>
        </w:rPr>
      </w:pPr>
      <w:r>
        <w:rPr>
          <w:rFonts w:hint="eastAsia" w:ascii="方正小标宋简体" w:hAnsi="方正小标宋简体" w:eastAsia="方正小标宋简体" w:cs="方正小标宋简体"/>
          <w:b w:val="0"/>
          <w:bCs/>
          <w:kern w:val="2"/>
          <w:sz w:val="44"/>
          <w:szCs w:val="44"/>
          <w:lang w:val="en-US" w:eastAsia="zh-CN" w:bidi="ar"/>
        </w:rPr>
        <w:t xml:space="preserve"> 利妥昔单抗治疗难治性肾炎</w:t>
      </w:r>
    </w:p>
    <w:p w14:paraId="64EFA951">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590" w:lineRule="exact"/>
        <w:ind w:right="0" w:rightChars="0" w:firstLine="3520" w:firstLineChars="800"/>
        <w:jc w:val="both"/>
        <w:textAlignment w:val="auto"/>
        <w:outlineLvl w:val="0"/>
        <w:rPr>
          <w:rFonts w:hint="eastAsia" w:ascii="方正小标宋简体" w:hAnsi="方正小标宋简体" w:eastAsia="方正小标宋简体" w:cs="方正小标宋简体"/>
          <w:b w:val="0"/>
          <w:bCs/>
          <w:kern w:val="2"/>
          <w:sz w:val="44"/>
          <w:szCs w:val="44"/>
          <w:lang w:val="en-US" w:eastAsia="zh-CN" w:bidi="ar"/>
        </w:rPr>
      </w:pPr>
      <w:r>
        <w:rPr>
          <w:rFonts w:hint="eastAsia" w:ascii="方正小标宋简体" w:hAnsi="方正小标宋简体" w:eastAsia="方正小标宋简体" w:cs="方正小标宋简体"/>
          <w:b w:val="0"/>
          <w:bCs/>
          <w:kern w:val="2"/>
          <w:sz w:val="44"/>
          <w:szCs w:val="44"/>
          <w:lang w:val="en-US" w:eastAsia="zh-CN" w:bidi="ar"/>
        </w:rPr>
        <w:t>患者的护理</w:t>
      </w:r>
    </w:p>
    <w:p w14:paraId="379B1A5A">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jc w:val="center"/>
        <w:textAlignment w:val="auto"/>
        <w:outlineLvl w:val="0"/>
        <w:rPr>
          <w:rFonts w:hint="eastAsia" w:ascii="仿宋_GB2312" w:hAnsi="仿宋_GB2312" w:eastAsia="仿宋_GB2312" w:cs="仿宋_GB2312"/>
          <w:b w:val="0"/>
          <w:bCs/>
          <w:kern w:val="2"/>
          <w:sz w:val="32"/>
          <w:szCs w:val="32"/>
          <w:lang w:val="en-US" w:eastAsia="zh-CN" w:bidi="ar"/>
        </w:rPr>
      </w:pPr>
      <w:r>
        <w:rPr>
          <w:rFonts w:hint="eastAsia" w:ascii="仿宋_GB2312" w:hAnsi="仿宋_GB2312" w:eastAsia="仿宋_GB2312" w:cs="仿宋_GB2312"/>
          <w:b w:val="0"/>
          <w:bCs/>
          <w:kern w:val="2"/>
          <w:sz w:val="32"/>
          <w:szCs w:val="32"/>
          <w:lang w:val="en-US" w:eastAsia="zh-CN" w:bidi="ar"/>
        </w:rPr>
        <w:t>福建省立医院肾内科  曹芳 庄丽婷</w:t>
      </w:r>
    </w:p>
    <w:p w14:paraId="6A01219D">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jc w:val="center"/>
        <w:textAlignment w:val="auto"/>
        <w:outlineLvl w:val="0"/>
        <w:rPr>
          <w:rFonts w:hint="eastAsia" w:ascii="仿宋_GB2312" w:hAnsi="仿宋_GB2312" w:eastAsia="仿宋_GB2312" w:cs="仿宋_GB2312"/>
          <w:b w:val="0"/>
          <w:bCs/>
          <w:kern w:val="2"/>
          <w:sz w:val="32"/>
          <w:szCs w:val="32"/>
          <w:lang w:val="en-US" w:eastAsia="zh-CN" w:bidi="ar"/>
        </w:rPr>
      </w:pPr>
    </w:p>
    <w:p w14:paraId="496CB5B7">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color w:val="0C0C0C"/>
          <w:kern w:val="2"/>
          <w:sz w:val="32"/>
          <w:szCs w:val="32"/>
          <w:lang w:val="en-US" w:eastAsia="zh-CN" w:bidi="ar"/>
        </w:rPr>
        <w:t>慢性肾小球肾炎简称为慢性肾炎，系指蛋白尿、血尿、高血压、水肿为基本临床表现，起病方式各有不同，病情迁延，病变缓慢进展，可以不同程度肾功能减退，最终发</w:t>
      </w:r>
      <w:bookmarkStart w:id="1" w:name="_GoBack"/>
      <w:bookmarkEnd w:id="1"/>
      <w:r>
        <w:rPr>
          <w:rFonts w:hint="eastAsia" w:ascii="仿宋_GB2312" w:hAnsi="仿宋_GB2312" w:eastAsia="仿宋_GB2312" w:cs="仿宋_GB2312"/>
          <w:color w:val="0C0C0C"/>
          <w:kern w:val="2"/>
          <w:sz w:val="32"/>
          <w:szCs w:val="32"/>
          <w:lang w:val="en-US" w:eastAsia="zh-CN" w:bidi="ar"/>
        </w:rPr>
        <w:t>展为慢性肾衰竭的一组肾小球病。由于本组疾病的病理类型及病期不同，主要临床表现各不相同，疾病表现呈多样化。蛋白尿、血尿不仅是慢性肾小球肾炎患者肾脏免疫炎症反应的直观表现，也是影响其预后的重要因素。糖皮质激素联合免疫抑制剂疗法虽然一直沿用至今，但其毒副反应一直使人忧心忡忡。大多数治疗肾病的药物是激素，且不说激素副作用大，长期使用激素会产生依赖性，容易引起病情复发。膜增生性肾小球肾炎是肾小球肾炎中最少见的类型之一，一般分为原发性和继发性，临床主要表现肾炎综合征或肾病综合征及持续性低补体血症，因而病程较长，难以治愈且预后差。</w:t>
      </w:r>
    </w:p>
    <w:p w14:paraId="4C8CF1A2">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在肾小球肾炎的发病机制中尽管存在一些非免疫因素的参与，但大多数肾小球肾炎目前被认为是免疫介导性炎症疾病，在肾脏病理检查中都以肾小球内沉积免疫球蛋白和其他免疫损伤介质为特征。根据免疫学原理免疫球蛋白（抗体）的过度产生与Ｂ淋巴细胞的过度活化，大量向浆细胞转化有关。免疫球蛋白是构成循环免疫复合物和原位免疫复合物的基本成分，抗原—抗体反应是导致肾小球肾炎的最重要免疫发</w:t>
      </w:r>
      <w:r>
        <w:rPr>
          <w:rFonts w:hint="eastAsia" w:ascii="仿宋_GB2312" w:hAnsi="仿宋_GB2312" w:eastAsia="仿宋_GB2312" w:cs="仿宋_GB2312"/>
          <w:color w:val="auto"/>
          <w:kern w:val="2"/>
          <w:sz w:val="32"/>
          <w:szCs w:val="32"/>
          <w:lang w:val="en-US" w:eastAsia="zh-CN" w:bidi="ar"/>
        </w:rPr>
        <w:t>病机制。当肾小球固有细胞和结构因免疫反应受到损伤，肾脏基底膜的机械屏障和电荷屏障就会遭到破坏，在临床上直观的表现就是出现蛋白尿和血尿。蛋白尿和血尿的程度不仅反映了肾脏免疫炎症反应的严重程度，也是影响患者预后的重要因素。采用激素、免疫抑制剂或细胞毒制剂抑制过度活化的免疫细胞虽是经典的治疗方法，但潜在的副作用也是显而易见的。利妥昔单抗</w:t>
      </w:r>
      <w:r>
        <w:rPr>
          <w:rFonts w:hint="eastAsia" w:ascii="仿宋_GB2312" w:hAnsi="仿宋_GB2312" w:eastAsia="仿宋_GB2312" w:cs="仿宋_GB2312"/>
          <w:b w:val="0"/>
          <w:bCs/>
          <w:color w:val="auto"/>
          <w:kern w:val="2"/>
          <w:sz w:val="32"/>
          <w:szCs w:val="32"/>
          <w:lang w:val="en-US" w:eastAsia="zh-CN" w:bidi="ar"/>
        </w:rPr>
        <w:t>是一种</w:t>
      </w:r>
      <w:r>
        <w:rPr>
          <w:rFonts w:hint="eastAsia" w:ascii="仿宋_GB2312" w:hAnsi="仿宋_GB2312" w:eastAsia="仿宋_GB2312" w:cs="仿宋_GB2312"/>
          <w:color w:val="auto"/>
          <w:kern w:val="2"/>
          <w:sz w:val="32"/>
          <w:szCs w:val="32"/>
          <w:lang w:val="en-US" w:eastAsia="zh-CN" w:bidi="ar"/>
        </w:rPr>
        <w:t>生物制剂，原来只是用于治疗癌症的一种靶向药，现如今已用于治疗多种肾病。美国FDA批准，可用于类风湿关节炎，系统性红斑狼疮，</w:t>
      </w:r>
      <w:r>
        <w:rPr>
          <w:rFonts w:hint="eastAsia" w:ascii="仿宋_GB2312" w:hAnsi="仿宋_GB2312" w:eastAsia="仿宋_GB2312" w:cs="仿宋_GB2312"/>
          <w:i w:val="0"/>
          <w:caps w:val="0"/>
          <w:color w:val="333333"/>
          <w:spacing w:val="0"/>
          <w:sz w:val="32"/>
          <w:szCs w:val="32"/>
          <w:shd w:val="clear" w:fill="FFFFFF"/>
        </w:rPr>
        <w:t>抗中性粒细胞胞浆抗体</w:t>
      </w:r>
      <w:r>
        <w:rPr>
          <w:rFonts w:hint="eastAsia" w:ascii="仿宋_GB2312" w:hAnsi="仿宋_GB2312" w:eastAsia="仿宋_GB2312" w:cs="仿宋_GB2312"/>
          <w:color w:val="auto"/>
          <w:kern w:val="2"/>
          <w:sz w:val="32"/>
          <w:szCs w:val="32"/>
          <w:lang w:val="en-US" w:eastAsia="zh-CN" w:bidi="ar"/>
        </w:rPr>
        <w:t>相关性血管炎等自身免疫疾病。目前，在膜性肾病</w:t>
      </w:r>
      <w:r>
        <w:rPr>
          <w:rFonts w:hint="eastAsia" w:ascii="仿宋_GB2312" w:hAnsi="仿宋_GB2312" w:eastAsia="仿宋_GB2312" w:cs="仿宋_GB2312"/>
          <w:kern w:val="2"/>
          <w:sz w:val="32"/>
          <w:szCs w:val="32"/>
          <w:lang w:val="en-US" w:eastAsia="zh-CN" w:bidi="ar"/>
        </w:rPr>
        <w:t>狼疮性肾炎、肾小球轻微病变、局灶节段性肾小球硬化症等肾病中应用。</w:t>
      </w:r>
      <w:r>
        <w:rPr>
          <w:rFonts w:hint="eastAsia" w:ascii="仿宋_GB2312" w:hAnsi="仿宋_GB2312" w:eastAsia="仿宋_GB2312" w:cs="仿宋_GB2312"/>
          <w:b w:val="0"/>
          <w:bCs/>
          <w:kern w:val="2"/>
          <w:sz w:val="32"/>
          <w:szCs w:val="32"/>
          <w:lang w:val="en-US" w:eastAsia="zh-CN" w:bidi="ar"/>
        </w:rPr>
        <w:t>利妥昔单抗</w:t>
      </w:r>
      <w:r>
        <w:rPr>
          <w:rFonts w:hint="eastAsia" w:ascii="仿宋_GB2312" w:hAnsi="仿宋_GB2312" w:eastAsia="仿宋_GB2312" w:cs="仿宋_GB2312"/>
          <w:kern w:val="2"/>
          <w:sz w:val="32"/>
          <w:szCs w:val="32"/>
          <w:lang w:val="en-US" w:eastAsia="zh-CN" w:bidi="ar"/>
        </w:rPr>
        <w:t>能通过抗体依赖细胞介导的细胞毒作用和补体介导的细胞毒作用启动Ｂ细胞溶解反应，靶向性的杀伤Ｂ淋巴细胞，抑制体液免疫炎症反应，从而达到治疗的目的。</w:t>
      </w:r>
    </w:p>
    <w:p w14:paraId="1CB6F089">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outlineLvl w:val="0"/>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val="0"/>
          <w:bCs/>
          <w:kern w:val="2"/>
          <w:sz w:val="32"/>
          <w:szCs w:val="32"/>
          <w:lang w:val="en-US" w:eastAsia="zh-CN" w:bidi="ar"/>
        </w:rPr>
        <w:t>生物制剂是指应用生物技术获得的微生物细胞，动物和人源的组织和液体等生物材料制备的，用于人类疾病的预防，治疗和诊断的药品，主要是指以炎症过程或免疫反应中的特定分子和受体为靶目标的单抗或天然抑制分子的重组产物。</w:t>
      </w:r>
      <w:r>
        <w:rPr>
          <w:rFonts w:hint="eastAsia" w:ascii="仿宋_GB2312" w:hAnsi="仿宋_GB2312" w:eastAsia="仿宋_GB2312" w:cs="仿宋_GB2312"/>
          <w:kern w:val="2"/>
          <w:sz w:val="32"/>
          <w:szCs w:val="32"/>
          <w:lang w:val="en-US" w:eastAsia="zh-CN" w:bidi="ar"/>
        </w:rPr>
        <w:t>利妥昔单抗属于人鼠嵌合型单克隆抗体，可以和它能与B 淋巴细胞上的CD20抗原实现特异性结合，产生免疫反应，实现清除B 细胞的效果。利妥昔单抗属于一种新型药物，不仅价格较为昂贵，发生不良反应的风险也先对较高。在临床治疗中应用时，基本上采取的是现配现用的方式，这就需要相关医护人员严格认知并掌握药物的原理以及用法和剂量，并在治疗时对滴速进行严格调控，密切观察患者的生命特征和反应，做好针对性的预防措施，从而保证治疗的顺利实施，真正发挥利妥昔单抗的效果。</w:t>
      </w:r>
    </w:p>
    <w:p w14:paraId="31111312">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
        </w:rPr>
        <w:t>一、健康教育</w:t>
      </w:r>
    </w:p>
    <w:p w14:paraId="07FAC305">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1、预防和控制感染：提高个人的抵抗力，可提前接种相关疫苗、加强饮食、适当锻炼来增强体质；在药物方面，需要遵从医嘱，定期复查，按时减量，避免长时间应用激素和免疫抑制剂降低人抵抗力；尽量避免感染源，避免近距离接触合并有肺部感染或者上呼吸道感染的人群，避免去空气污染较重或病菌多的地方，做好隔离防护。如遇到寒冷冬季减少外出，注意保暖。坚持医嘱服药，勿自行减量或停用激素。</w:t>
      </w:r>
    </w:p>
    <w:p w14:paraId="01CC9557">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2、饮食护理：低盐、低脂、优质蛋白饮食。因患者双下肢水肿低，应严格要求盐的摄入量每日小于3g；低脂饮食，严格控制脂肪及胆固醇的摄入；优质蛋白饮食是以动物蛋白为主，每日蛋白质的摄入量在0.8-1.0g/kg；补充各种维生素及微量元素，如铁，锌等。</w:t>
      </w:r>
    </w:p>
    <w:p w14:paraId="0DC4ECA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lang w:val="en-US" w:eastAsia="zh-CN" w:bidi="ar"/>
        </w:rPr>
        <w:t>二、利妥昔输注护理</w:t>
      </w:r>
    </w:p>
    <w:p w14:paraId="4662EAC3">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1、药物使用前，操作环境符合无菌操作要求、注意三查七对。</w:t>
      </w:r>
    </w:p>
    <w:p w14:paraId="4E29708F">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2、药液及注射符合要求，完善各种签字单。药物的保存：未使用的利妥昔单抗避光保存在 2－8 ℃冰箱里，最好现配现用。使用药物前要仔细观察注射剂是否变色或者含有微粒，如果发现异常，立即通知停止使用。</w:t>
      </w:r>
    </w:p>
    <w:p w14:paraId="0DFACC76">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3、药物的配置：利妥昔单抗为生物制剂，不含抗微生物成分，配置药液时应避免与空气接触并严格执行无菌操作。抽取药液时注射器内不能有空气，向生理盐水内注射时保持针尖在液面以下，轻柔颠倒输液瓶以使药物混合均匀，为避免蛋白分解影响药效，配制溶液时动作应轻柔，避免产生泡沫。配制好的药液没有立即使用，应及时保存于２～８℃冰箱中并在 24小时内尽快使用。抽取和注入药液时针尖可埋于液面以下。药液溶解至无致热源的生理盐水中，配制成浓度为１mg／ml的溶液。配制好溶液后摇匀，观察无变化后方可使用。本配置的浓度为1mg/ml。在配药时分两步进行，先将100mg利妥昔单抗加入100 ml生理盐水中，快输液完毕时若患者无不良反应发生再将 500mg利妥昔单抗溶入500ml生理盐水中，继续输注。</w:t>
      </w:r>
    </w:p>
    <w:p w14:paraId="551FC1AC">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4、药物的输注：输液时采用精密过滤输液器，用输液泵控制滴速，初始速度为 50 ml/h，每1小时加速25 ml/h，最大速度不超过100 ml/h，输注完毕前、后予以 100ml的生理盐水冲管。</w:t>
      </w:r>
    </w:p>
    <w:p w14:paraId="7D1E9ADC">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5、静脉护理：正确选择静脉通道，利妥昔单抗对外周静脉刺激性大，进行静脉注射时常引起静脉炎，表现为:从静脉注射部位开始，沿静脉走行，出现静脉变硬、发红或色素沉着，有时呈条索状以致血流受阻。为了减少药物对血管的损伤，在为该患者进行穿刺时我们采取静脉留置针输液，并选择粗而直的血管，且不影响患者活动，选择患者左手，同时责任护士在输液过程中加强巡视，密切观察输液是否通畅，穿刺处有无红肿、外渗等。若出现药物外渗，立即予以停止输液。发生静脉炎者予以硫酸镁湿敷与赛肤润按摩交替使用。</w:t>
      </w:r>
    </w:p>
    <w:p w14:paraId="65CA218C">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6、不良反应的观察及预见性护理：</w:t>
      </w:r>
    </w:p>
    <w:p w14:paraId="6C6EE862">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（1）输注反应的观察及护理：利妥昔单抗最常见的不良反应为输注反应，可能与细胞因子和/或其他化学介质的释放及变态反应有关，主要出现在第一次静脉滴注，而且常出现在静脉滴注开始后的 0.5－2h内，常见症状包括发热、寒战、头晕、头痛、无力、脸红、支气管痉挛等。针对不良反应，在输注药物前后30 min监测体温，输注药物前30 min 遵医嘱给患者地塞米松5mg静脉推注，盐酸异丙嗪25mg肌注，输注药物时控制输液速度，先从小剂量开始使用，密切观察患者呼吸频率、节律、面色和皮肤等情况，发现异常及时报告医生。在输注过程，液体不得推注，根据患者的反应采取有</w:t>
      </w:r>
      <w:r>
        <w:rPr>
          <w:rFonts w:hint="eastAsia" w:ascii="仿宋_GB2312" w:hAnsi="仿宋_GB2312" w:eastAsia="仿宋_GB2312" w:cs="仿宋_GB2312"/>
          <w:color w:val="auto"/>
          <w:kern w:val="2"/>
          <w:sz w:val="32"/>
          <w:szCs w:val="32"/>
          <w:lang w:val="en-US" w:eastAsia="zh-CN" w:bidi="ar"/>
        </w:rPr>
        <w:t>效措施，若出现寒战应予以保暖，发热时予以物理降温，并做好口腔及皮肤护理，防止感染的发生。低热者--</w:t>
      </w:r>
      <w:r>
        <w:rPr>
          <w:rFonts w:hint="eastAsia" w:ascii="仿宋_GB2312" w:hAnsi="仿宋_GB2312" w:eastAsia="仿宋_GB2312" w:cs="仿宋_GB2312"/>
          <w:kern w:val="2"/>
          <w:sz w:val="32"/>
          <w:szCs w:val="32"/>
          <w:lang w:val="en-US" w:eastAsia="zh-CN" w:bidi="ar"/>
        </w:rPr>
        <w:t>多饮水，物理降温，适量补液；高热者--予以解热镇痛药物，补充液体量，如持续不退者给予地塞米松10mg静推，同时做好保暖工作。用药后观察体温变化，30分钟复测，超过38℃以上应积极处理，如超过38.5℃应暂停药物输注，待体温降至37℃，继续用药，并调整为原滴数的1/2。</w:t>
      </w:r>
    </w:p>
    <w:p w14:paraId="33710894">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（2）心血管系统不良反应的观察及护理：利妥昔单抗可引:起心律失常、直立性低血压等，心电监测于输液前半小时开始，持续监测直至输液完毕后1个小时。</w:t>
      </w:r>
    </w:p>
    <w:p w14:paraId="4A45ACE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即在使用利妥昔单抗的治疗全程均予以持续心电监测进行生命体征的测量，开始输注药物后每 1h测量1次。血压低于90/60mmHg，先减慢滴速或暂停输入，改用盐水维持，吸氧，肾上腺素1mg静脉推注，地塞米松5mg静脉推注，血压恢复正常后继续用药，但输液速度应当减慢调整为原滴数的1/2。</w:t>
      </w:r>
    </w:p>
    <w:p w14:paraId="33E1E061">
      <w:pPr>
        <w:keepNext w:val="0"/>
        <w:keepLines w:val="0"/>
        <w:pageBreakBefore w:val="0"/>
        <w:widowControl w:val="0"/>
        <w:numPr>
          <w:ilvl w:val="0"/>
          <w:numId w:val="2"/>
        </w:numPr>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胃肠道反应的观察及护理：利妥昔单抗可出现轻度胃肠道反应，常见有恶心、呕吐、腹痛、腹泻、呃逆等。密切观察患者是否出现恶心、呕吐等症状。为减少胃肠道负担，告知其进食清淡易消化食物，勿食油腻及刺激性食物，同时少食多餐，并在患者出现恶心、呕吐症状时指导其做深呼吸分散注意力并关心安慰患者。</w:t>
      </w:r>
    </w:p>
    <w:p w14:paraId="6448CC41">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（4）过敏反应的观察及护理：利妥昔单抗是一种生物制剂，含有一种蛋白，可导致一型过敏反应，轻者出现荨麻疹，重者出现支气管痉挛，呼吸困难，喉头水肿。</w:t>
      </w:r>
    </w:p>
    <w:p w14:paraId="337C073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right="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处理措施：用前30分钟给予异丙嗪25-50mg肌注，地塞米松10-15mg静推，口服解热镇痛药物。</w:t>
      </w:r>
    </w:p>
    <w:p w14:paraId="18F08D06">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总之，在应用利妥昔单抗治疗难治性肾病时，护理工作必须坚持无菌原则，合理控制输液速度，做好药液配置及静脉通道维护，并严密监测患者的生命体征，若患者出现不适症状，需根据其不适程度调整输注速度或停止用药，同时予以针对性干预措施，缓解患者不适，以保证治疗的顺利实施。</w:t>
      </w:r>
    </w:p>
    <w:p w14:paraId="27AE9015">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outlineLvl w:val="0"/>
        <w:rPr>
          <w:rFonts w:hint="eastAsia" w:ascii="仿宋_GB2312" w:hAnsi="仿宋_GB2312" w:eastAsia="仿宋_GB2312" w:cs="仿宋_GB2312"/>
          <w:kern w:val="2"/>
          <w:sz w:val="32"/>
          <w:szCs w:val="32"/>
          <w:lang w:val="en-US" w:eastAsia="zh-CN" w:bidi="ar"/>
        </w:rPr>
      </w:pPr>
    </w:p>
    <w:p w14:paraId="534A3104">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left"/>
        <w:textAlignment w:val="auto"/>
        <w:outlineLvl w:val="0"/>
        <w:rPr>
          <w:rFonts w:hint="eastAsia" w:ascii="仿宋_GB2312" w:hAnsi="仿宋_GB2312" w:eastAsia="仿宋_GB2312" w:cs="仿宋_GB2312"/>
          <w:b w:val="0"/>
          <w:bCs/>
          <w:kern w:val="2"/>
          <w:sz w:val="32"/>
          <w:szCs w:val="32"/>
          <w:lang w:val="en-US" w:eastAsia="zh-CN" w:bidi="ar"/>
        </w:rPr>
      </w:pPr>
    </w:p>
    <w:p w14:paraId="1DF25537">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left"/>
        <w:textAlignment w:val="auto"/>
        <w:outlineLvl w:val="0"/>
        <w:rPr>
          <w:rFonts w:hint="eastAsia" w:ascii="仿宋_GB2312" w:hAnsi="仿宋_GB2312" w:eastAsia="仿宋_GB2312" w:cs="仿宋_GB2312"/>
          <w:b w:val="0"/>
          <w:bCs/>
          <w:kern w:val="2"/>
          <w:sz w:val="32"/>
          <w:szCs w:val="32"/>
          <w:lang w:val="en-US" w:eastAsia="zh-CN" w:bidi="ar"/>
        </w:rPr>
      </w:pPr>
    </w:p>
    <w:p w14:paraId="4B3F2A68">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left"/>
        <w:textAlignment w:val="auto"/>
        <w:outlineLvl w:val="0"/>
        <w:rPr>
          <w:rFonts w:hint="eastAsia" w:ascii="仿宋_GB2312" w:hAnsi="仿宋_GB2312" w:eastAsia="仿宋_GB2312" w:cs="仿宋_GB2312"/>
          <w:b w:val="0"/>
          <w:bCs/>
          <w:kern w:val="2"/>
          <w:sz w:val="32"/>
          <w:szCs w:val="32"/>
          <w:lang w:val="en-US" w:eastAsia="zh-CN" w:bidi="ar"/>
        </w:rPr>
      </w:pPr>
    </w:p>
    <w:p w14:paraId="525A75F7">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left"/>
        <w:textAlignment w:val="auto"/>
        <w:outlineLvl w:val="0"/>
        <w:rPr>
          <w:rFonts w:hint="eastAsia" w:ascii="仿宋_GB2312" w:hAnsi="仿宋_GB2312" w:eastAsia="仿宋_GB2312" w:cs="仿宋_GB2312"/>
          <w:b w:val="0"/>
          <w:bCs/>
          <w:kern w:val="2"/>
          <w:sz w:val="32"/>
          <w:szCs w:val="32"/>
          <w:lang w:val="en-US" w:eastAsia="zh-CN" w:bidi="ar"/>
        </w:rPr>
      </w:pPr>
    </w:p>
    <w:p w14:paraId="7D909A97">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left"/>
        <w:textAlignment w:val="auto"/>
        <w:outlineLvl w:val="0"/>
        <w:rPr>
          <w:rFonts w:hint="eastAsia" w:ascii="仿宋_GB2312" w:hAnsi="仿宋_GB2312" w:eastAsia="仿宋_GB2312" w:cs="仿宋_GB2312"/>
          <w:b w:val="0"/>
          <w:bCs/>
          <w:kern w:val="2"/>
          <w:sz w:val="32"/>
          <w:szCs w:val="32"/>
          <w:lang w:val="en-US" w:eastAsia="zh-CN" w:bidi="ar"/>
        </w:rPr>
      </w:pPr>
    </w:p>
    <w:p w14:paraId="6E273C6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left"/>
        <w:textAlignment w:val="auto"/>
        <w:outlineLvl w:val="0"/>
        <w:rPr>
          <w:rFonts w:hint="eastAsia" w:ascii="仿宋_GB2312" w:hAnsi="仿宋_GB2312" w:eastAsia="仿宋_GB2312" w:cs="仿宋_GB2312"/>
          <w:b w:val="0"/>
          <w:bCs/>
          <w:kern w:val="2"/>
          <w:sz w:val="32"/>
          <w:szCs w:val="32"/>
          <w:lang w:val="en-US" w:eastAsia="zh-CN" w:bidi="ar"/>
        </w:rPr>
      </w:pPr>
    </w:p>
    <w:p w14:paraId="5C8E6125">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left"/>
        <w:textAlignment w:val="auto"/>
        <w:outlineLvl w:val="0"/>
        <w:rPr>
          <w:rFonts w:hint="eastAsia" w:ascii="仿宋_GB2312" w:hAnsi="仿宋_GB2312" w:eastAsia="仿宋_GB2312" w:cs="仿宋_GB2312"/>
          <w:b w:val="0"/>
          <w:bCs/>
          <w:kern w:val="2"/>
          <w:sz w:val="32"/>
          <w:szCs w:val="32"/>
          <w:lang w:val="en-US" w:eastAsia="zh-CN" w:bidi="ar"/>
        </w:rPr>
      </w:pPr>
    </w:p>
    <w:p w14:paraId="77DF2C74">
      <w:pPr>
        <w:keepNext w:val="0"/>
        <w:keepLines w:val="0"/>
        <w:pageBreakBefore w:val="0"/>
        <w:widowControl w:val="0"/>
        <w:suppressLineNumbers w:val="0"/>
        <w:tabs>
          <w:tab w:val="left" w:pos="2700"/>
        </w:tabs>
        <w:kinsoku/>
        <w:wordWrap/>
        <w:overflowPunct/>
        <w:topLinePunct w:val="0"/>
        <w:bidi w:val="0"/>
        <w:snapToGrid/>
        <w:spacing w:before="0" w:beforeAutospacing="0" w:after="0" w:afterAutospacing="0" w:line="590" w:lineRule="exact"/>
        <w:ind w:left="0" w:right="0"/>
        <w:jc w:val="both"/>
        <w:textAlignment w:val="auto"/>
        <w:rPr>
          <w:rFonts w:hint="eastAsia" w:ascii="仿宋_GB2312" w:hAnsi="仿宋_GB2312" w:eastAsia="仿宋_GB2312" w:cs="仿宋_GB2312"/>
          <w:b/>
          <w:bCs w:val="0"/>
          <w:kern w:val="0"/>
          <w:sz w:val="32"/>
          <w:szCs w:val="32"/>
          <w:lang w:val="en-US"/>
        </w:rPr>
      </w:pPr>
      <w:r>
        <w:rPr>
          <w:rFonts w:hint="eastAsia" w:ascii="仿宋_GB2312" w:hAnsi="仿宋_GB2312" w:eastAsia="仿宋_GB2312" w:cs="仿宋_GB2312"/>
          <w:b/>
          <w:bCs w:val="0"/>
          <w:kern w:val="2"/>
          <w:sz w:val="32"/>
          <w:szCs w:val="32"/>
          <w:lang w:val="en-US" w:eastAsia="zh-CN" w:bidi="ar"/>
        </w:rPr>
        <w:t>一、</w:t>
      </w:r>
      <w:r>
        <w:rPr>
          <w:rFonts w:hint="eastAsia" w:ascii="仿宋_GB2312" w:hAnsi="仿宋_GB2312" w:eastAsia="仿宋_GB2312" w:cs="仿宋_GB2312"/>
          <w:b/>
          <w:bCs w:val="0"/>
          <w:kern w:val="0"/>
          <w:sz w:val="32"/>
          <w:szCs w:val="32"/>
          <w:lang w:val="en-US" w:eastAsia="zh-CN" w:bidi="ar"/>
        </w:rPr>
        <w:t>单项</w:t>
      </w:r>
      <w:r>
        <w:rPr>
          <w:rFonts w:hint="eastAsia" w:ascii="仿宋_GB2312" w:hAnsi="仿宋_GB2312" w:eastAsia="仿宋_GB2312" w:cs="仿宋_GB2312"/>
          <w:b/>
          <w:kern w:val="2"/>
          <w:sz w:val="32"/>
          <w:szCs w:val="32"/>
          <w:lang w:val="en-US" w:eastAsia="zh-CN" w:bidi="ar"/>
        </w:rPr>
        <w:t>选择题</w:t>
      </w:r>
    </w:p>
    <w:p w14:paraId="22CBB24B">
      <w:pPr>
        <w:keepNext w:val="0"/>
        <w:keepLines w:val="0"/>
        <w:pageBreakBefore w:val="0"/>
        <w:widowControl w:val="0"/>
        <w:numPr>
          <w:ilvl w:val="0"/>
          <w:numId w:val="3"/>
        </w:numPr>
        <w:suppressLineNumbers w:val="0"/>
        <w:kinsoku/>
        <w:wordWrap/>
        <w:overflowPunct/>
        <w:topLinePunct w:val="0"/>
        <w:bidi w:val="0"/>
        <w:snapToGrid/>
        <w:spacing w:before="0" w:beforeAutospacing="0" w:after="0" w:afterAutospacing="0" w:line="590" w:lineRule="exact"/>
        <w:ind w:left="360" w:right="0" w:hanging="36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慢性肾小球肾炎基本临床表现（ ）。</w:t>
      </w:r>
    </w:p>
    <w:p w14:paraId="3C62DD09">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2"/>
          <w:sz w:val="32"/>
          <w:szCs w:val="32"/>
          <w:lang w:val="en-US" w:eastAsia="zh-CN" w:bidi="ar"/>
        </w:rPr>
        <w:t xml:space="preserve">A 蛋白尿、血尿 </w:t>
      </w:r>
      <w:r>
        <w:rPr>
          <w:rFonts w:hint="eastAsia" w:ascii="仿宋_GB2312" w:hAnsi="仿宋_GB2312" w:eastAsia="仿宋_GB2312" w:cs="仿宋_GB2312"/>
          <w:kern w:val="0"/>
          <w:sz w:val="32"/>
          <w:szCs w:val="32"/>
          <w:lang w:val="en-US" w:eastAsia="zh-CN" w:bidi="ar"/>
        </w:rPr>
        <w:t xml:space="preserve"> </w:t>
      </w:r>
    </w:p>
    <w:p w14:paraId="08FA3CF8">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2"/>
          <w:sz w:val="32"/>
          <w:szCs w:val="32"/>
          <w:lang w:val="en-US" w:eastAsia="zh-CN" w:bidi="ar"/>
        </w:rPr>
        <w:t>B</w:t>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kern w:val="2"/>
          <w:sz w:val="32"/>
          <w:szCs w:val="32"/>
          <w:lang w:val="en-US" w:eastAsia="zh-CN" w:bidi="ar"/>
        </w:rPr>
        <w:t>水肿</w:t>
      </w:r>
      <w:r>
        <w:rPr>
          <w:rFonts w:hint="eastAsia" w:ascii="仿宋_GB2312" w:hAnsi="仿宋_GB2312" w:eastAsia="仿宋_GB2312" w:cs="仿宋_GB2312"/>
          <w:kern w:val="0"/>
          <w:sz w:val="32"/>
          <w:szCs w:val="32"/>
          <w:lang w:val="en-US" w:eastAsia="zh-CN" w:bidi="ar"/>
        </w:rPr>
        <w:t xml:space="preserve"> </w:t>
      </w:r>
    </w:p>
    <w:p w14:paraId="0CA941B0">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w:t>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kern w:val="2"/>
          <w:sz w:val="32"/>
          <w:szCs w:val="32"/>
          <w:lang w:val="en-US" w:eastAsia="zh-CN" w:bidi="ar"/>
        </w:rPr>
        <w:t>高血压</w:t>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kern w:val="2"/>
          <w:sz w:val="32"/>
          <w:szCs w:val="32"/>
          <w:lang w:val="en-US" w:eastAsia="zh-CN" w:bidi="ar"/>
        </w:rPr>
        <w:t xml:space="preserve"> </w:t>
      </w:r>
    </w:p>
    <w:p w14:paraId="7CACD3E5">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2"/>
          <w:sz w:val="32"/>
          <w:szCs w:val="32"/>
          <w:lang w:val="en-US" w:eastAsia="zh-CN" w:bidi="ar"/>
        </w:rPr>
        <w:t>D 以上都是</w:t>
      </w:r>
    </w:p>
    <w:p w14:paraId="1591DCE0">
      <w:pPr>
        <w:keepNext w:val="0"/>
        <w:keepLines w:val="0"/>
        <w:pageBreakBefore w:val="0"/>
        <w:widowControl w:val="0"/>
        <w:numPr>
          <w:ilvl w:val="0"/>
          <w:numId w:val="3"/>
        </w:numPr>
        <w:suppressLineNumbers w:val="0"/>
        <w:kinsoku/>
        <w:wordWrap/>
        <w:overflowPunct/>
        <w:topLinePunct w:val="0"/>
        <w:bidi w:val="0"/>
        <w:snapToGrid/>
        <w:spacing w:before="0" w:beforeAutospacing="0" w:after="0" w:afterAutospacing="0" w:line="590" w:lineRule="exact"/>
        <w:ind w:left="360" w:right="0" w:hanging="36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利妥昔单抗是一种生物制剂，现如今已用于治疗多种肾病，以下哪种疾病不能使用（ ）</w:t>
      </w:r>
      <w:r>
        <w:rPr>
          <w:rFonts w:hint="eastAsia" w:ascii="仿宋_GB2312" w:hAnsi="仿宋_GB2312" w:eastAsia="仿宋_GB2312" w:cs="仿宋_GB2312"/>
          <w:kern w:val="0"/>
          <w:sz w:val="32"/>
          <w:szCs w:val="32"/>
          <w:lang w:val="en-US" w:eastAsia="zh-CN" w:bidi="ar"/>
        </w:rPr>
        <w:t>。</w:t>
      </w:r>
    </w:p>
    <w:p w14:paraId="5865C25C">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A 类风湿关节炎          </w:t>
      </w:r>
    </w:p>
    <w:p w14:paraId="014DEF25">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B 系统性红斑狼疮 </w:t>
      </w:r>
    </w:p>
    <w:p w14:paraId="622D2DF6">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 抗中性粒细胞胞浆抗体相关性血管炎</w:t>
      </w:r>
    </w:p>
    <w:p w14:paraId="7A84EC3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D 尿毒症</w:t>
      </w:r>
    </w:p>
    <w:p w14:paraId="7573C040">
      <w:pPr>
        <w:keepNext w:val="0"/>
        <w:keepLines w:val="0"/>
        <w:pageBreakBefore w:val="0"/>
        <w:widowControl w:val="0"/>
        <w:numPr>
          <w:ilvl w:val="0"/>
          <w:numId w:val="3"/>
        </w:numPr>
        <w:suppressLineNumbers w:val="0"/>
        <w:kinsoku/>
        <w:wordWrap/>
        <w:overflowPunct/>
        <w:topLinePunct w:val="0"/>
        <w:bidi w:val="0"/>
        <w:snapToGrid/>
        <w:spacing w:before="0" w:beforeAutospacing="0" w:after="0" w:afterAutospacing="0" w:line="590" w:lineRule="exact"/>
        <w:ind w:left="360" w:right="0" w:hanging="36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利妥昔单抗药液及注射应符合以下哪项要求 (   ) </w:t>
      </w:r>
    </w:p>
    <w:p w14:paraId="2484E9C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A 避光保存在 2－8 ℃冰箱</w:t>
      </w:r>
    </w:p>
    <w:p w14:paraId="58A8666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B 现配现用</w:t>
      </w:r>
    </w:p>
    <w:p w14:paraId="6A162830">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 观察药物性质</w:t>
      </w:r>
    </w:p>
    <w:p w14:paraId="29D74B0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D 以上都是</w:t>
      </w:r>
    </w:p>
    <w:p w14:paraId="1A223206">
      <w:pPr>
        <w:keepNext w:val="0"/>
        <w:keepLines w:val="0"/>
        <w:pageBreakBefore w:val="0"/>
        <w:widowControl w:val="0"/>
        <w:numPr>
          <w:ilvl w:val="0"/>
          <w:numId w:val="3"/>
        </w:numPr>
        <w:suppressLineNumbers w:val="0"/>
        <w:kinsoku/>
        <w:wordWrap/>
        <w:overflowPunct/>
        <w:topLinePunct w:val="0"/>
        <w:bidi w:val="0"/>
        <w:snapToGrid/>
        <w:spacing w:before="0" w:beforeAutospacing="0" w:after="0" w:afterAutospacing="0" w:line="590" w:lineRule="exact"/>
        <w:ind w:left="360" w:right="0" w:hanging="36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利妥昔单抗药物的配置不正确的是（ ）。</w:t>
      </w:r>
    </w:p>
    <w:p w14:paraId="36BAAB76">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960" w:firstLineChars="3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A 执行无菌操作</w:t>
      </w:r>
    </w:p>
    <w:p w14:paraId="235D6F42">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960" w:firstLineChars="3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B 抽取药液时注射器内应注入空气</w:t>
      </w:r>
    </w:p>
    <w:p w14:paraId="6B70DAAD">
      <w:pPr>
        <w:keepNext w:val="0"/>
        <w:keepLines w:val="0"/>
        <w:pageBreakBefore w:val="0"/>
        <w:widowControl w:val="0"/>
        <w:suppressLineNumbers w:val="0"/>
        <w:tabs>
          <w:tab w:val="left" w:pos="3165"/>
        </w:tabs>
        <w:kinsoku/>
        <w:wordWrap/>
        <w:overflowPunct/>
        <w:topLinePunct w:val="0"/>
        <w:bidi w:val="0"/>
        <w:snapToGrid/>
        <w:spacing w:before="0" w:beforeAutospacing="0" w:after="0" w:afterAutospacing="0" w:line="590" w:lineRule="exact"/>
        <w:ind w:left="0" w:right="0" w:firstLine="960" w:firstLineChars="3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 向生理盐水内注射时保持针尖在液面以下</w:t>
      </w:r>
    </w:p>
    <w:p w14:paraId="1EE2F364">
      <w:pPr>
        <w:keepNext w:val="0"/>
        <w:keepLines w:val="0"/>
        <w:pageBreakBefore w:val="0"/>
        <w:widowControl w:val="0"/>
        <w:suppressLineNumbers w:val="0"/>
        <w:tabs>
          <w:tab w:val="left" w:pos="3165"/>
        </w:tabs>
        <w:kinsoku/>
        <w:wordWrap/>
        <w:overflowPunct/>
        <w:topLinePunct w:val="0"/>
        <w:bidi w:val="0"/>
        <w:snapToGrid/>
        <w:spacing w:before="0" w:beforeAutospacing="0" w:after="0" w:afterAutospacing="0" w:line="590" w:lineRule="exact"/>
        <w:ind w:left="0" w:right="0" w:firstLine="960" w:firstLineChars="3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D 配制溶液时动作应轻柔，避免产生泡沫</w:t>
      </w:r>
      <w:r>
        <w:rPr>
          <w:rFonts w:hint="eastAsia" w:ascii="仿宋_GB2312" w:hAnsi="仿宋_GB2312" w:eastAsia="仿宋_GB2312" w:cs="仿宋_GB2312"/>
          <w:kern w:val="2"/>
          <w:sz w:val="32"/>
          <w:szCs w:val="32"/>
          <w:lang w:val="en-US" w:eastAsia="zh-CN" w:bidi="ar"/>
        </w:rPr>
        <w:tab/>
      </w:r>
    </w:p>
    <w:p w14:paraId="60D5C7A9">
      <w:pPr>
        <w:keepNext w:val="0"/>
        <w:keepLines w:val="0"/>
        <w:pageBreakBefore w:val="0"/>
        <w:widowControl w:val="0"/>
        <w:numPr>
          <w:ilvl w:val="0"/>
          <w:numId w:val="3"/>
        </w:numPr>
        <w:suppressLineNumbers w:val="0"/>
        <w:kinsoku/>
        <w:wordWrap/>
        <w:overflowPunct/>
        <w:topLinePunct w:val="0"/>
        <w:bidi w:val="0"/>
        <w:snapToGrid/>
        <w:spacing w:before="0" w:beforeAutospacing="0" w:after="0" w:afterAutospacing="0" w:line="590" w:lineRule="exact"/>
        <w:ind w:left="360" w:right="0" w:hanging="36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利妥昔单抗药液溶解至无致热源的生理盐水中，配制成浓度为（ ）的溶液。</w:t>
      </w:r>
    </w:p>
    <w:p w14:paraId="09002C29">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960" w:firstLineChars="3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A </w:t>
      </w:r>
      <w:bookmarkStart w:id="0" w:name="_Hlk161755299"/>
      <w:r>
        <w:rPr>
          <w:rFonts w:hint="eastAsia" w:ascii="仿宋_GB2312" w:hAnsi="仿宋_GB2312" w:eastAsia="仿宋_GB2312" w:cs="仿宋_GB2312"/>
          <w:kern w:val="2"/>
          <w:sz w:val="32"/>
          <w:szCs w:val="32"/>
          <w:lang w:val="en-US" w:eastAsia="zh-CN" w:bidi="ar"/>
        </w:rPr>
        <w:t>１mg／ml</w:t>
      </w:r>
      <w:bookmarkEnd w:id="0"/>
    </w:p>
    <w:p w14:paraId="31F310AA">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960" w:firstLineChars="3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B  2mg／ml  </w:t>
      </w:r>
    </w:p>
    <w:p w14:paraId="653616FF">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960" w:firstLineChars="3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  3mg／ml</w:t>
      </w:r>
    </w:p>
    <w:p w14:paraId="553BA330">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960" w:firstLineChars="3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D  4mg／ml </w:t>
      </w:r>
    </w:p>
    <w:p w14:paraId="63859548">
      <w:pPr>
        <w:keepNext w:val="0"/>
        <w:keepLines w:val="0"/>
        <w:pageBreakBefore w:val="0"/>
        <w:widowControl w:val="0"/>
        <w:numPr>
          <w:ilvl w:val="0"/>
          <w:numId w:val="3"/>
        </w:numPr>
        <w:suppressLineNumbers w:val="0"/>
        <w:kinsoku/>
        <w:wordWrap/>
        <w:overflowPunct/>
        <w:topLinePunct w:val="0"/>
        <w:bidi w:val="0"/>
        <w:snapToGrid/>
        <w:spacing w:before="0" w:beforeAutospacing="0" w:after="0" w:afterAutospacing="0" w:line="590" w:lineRule="exact"/>
        <w:ind w:left="360" w:right="0" w:hanging="36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输液时采用精密过滤输液器，用输液泵控制滴速，初始速度为 50 ml/h（）</w:t>
      </w:r>
    </w:p>
    <w:p w14:paraId="663BE565">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800" w:firstLineChars="2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A 50 ml/h  </w:t>
      </w:r>
    </w:p>
    <w:p w14:paraId="44EBA0CC">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800" w:firstLineChars="2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B 75 ml/h</w:t>
      </w:r>
    </w:p>
    <w:p w14:paraId="624288CE">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800" w:firstLineChars="2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 100ml/h</w:t>
      </w:r>
    </w:p>
    <w:p w14:paraId="2A017E50">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800" w:firstLineChars="2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D 150 ml/h</w:t>
      </w:r>
    </w:p>
    <w:p w14:paraId="59059B30">
      <w:pPr>
        <w:keepNext w:val="0"/>
        <w:keepLines w:val="0"/>
        <w:pageBreakBefore w:val="0"/>
        <w:widowControl w:val="0"/>
        <w:numPr>
          <w:ilvl w:val="0"/>
          <w:numId w:val="3"/>
        </w:numPr>
        <w:suppressLineNumbers w:val="0"/>
        <w:kinsoku/>
        <w:wordWrap/>
        <w:overflowPunct/>
        <w:topLinePunct w:val="0"/>
        <w:bidi w:val="0"/>
        <w:snapToGrid/>
        <w:spacing w:before="0" w:beforeAutospacing="0" w:after="0" w:afterAutospacing="0" w:line="590" w:lineRule="exact"/>
        <w:ind w:left="360" w:right="0" w:hanging="36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为防止利妥昔输注反应的处理不正确的是（ ）。</w:t>
      </w:r>
    </w:p>
    <w:p w14:paraId="5D48AD47">
      <w:pPr>
        <w:keepNext w:val="0"/>
        <w:keepLines w:val="0"/>
        <w:pageBreakBefore w:val="0"/>
        <w:widowControl w:val="0"/>
        <w:suppressLineNumbers w:val="0"/>
        <w:tabs>
          <w:tab w:val="left" w:pos="3165"/>
        </w:tabs>
        <w:kinsoku/>
        <w:wordWrap/>
        <w:overflowPunct/>
        <w:topLinePunct w:val="0"/>
        <w:bidi w:val="0"/>
        <w:snapToGrid/>
        <w:spacing w:before="0" w:beforeAutospacing="0" w:after="0" w:afterAutospacing="0" w:line="590" w:lineRule="exact"/>
        <w:ind w:left="0" w:right="0" w:firstLine="480" w:firstLineChars="1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A  在输注药物前后30 min监测体温</w:t>
      </w:r>
      <w:r>
        <w:rPr>
          <w:rFonts w:hint="eastAsia" w:ascii="仿宋_GB2312" w:hAnsi="仿宋_GB2312" w:eastAsia="仿宋_GB2312" w:cs="仿宋_GB2312"/>
          <w:kern w:val="2"/>
          <w:sz w:val="32"/>
          <w:szCs w:val="32"/>
          <w:lang w:val="en-US" w:eastAsia="zh-CN" w:bidi="ar"/>
        </w:rPr>
        <w:tab/>
      </w:r>
    </w:p>
    <w:p w14:paraId="07D142B3">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480" w:firstLineChars="1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B 在输注过程，液体可以静推</w:t>
      </w:r>
    </w:p>
    <w:p w14:paraId="05BDEEB7">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480" w:firstLineChars="1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 输注药物前30 min 遵医嘱给患者地塞米松5mg静脉推注，盐酸异丙嗪25mg肌注</w:t>
      </w:r>
    </w:p>
    <w:p w14:paraId="64E7B20A">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480" w:firstLineChars="1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D 输注药物时控制输液速度，先从小剂量开始使用</w:t>
      </w:r>
    </w:p>
    <w:p w14:paraId="3E245E81">
      <w:pPr>
        <w:keepNext w:val="0"/>
        <w:keepLines w:val="0"/>
        <w:pageBreakBefore w:val="0"/>
        <w:widowControl w:val="0"/>
        <w:numPr>
          <w:ilvl w:val="0"/>
          <w:numId w:val="3"/>
        </w:numPr>
        <w:suppressLineNumbers w:val="0"/>
        <w:kinsoku/>
        <w:wordWrap/>
        <w:overflowPunct/>
        <w:topLinePunct w:val="0"/>
        <w:bidi w:val="0"/>
        <w:snapToGrid/>
        <w:spacing w:before="0" w:beforeAutospacing="0" w:after="0" w:afterAutospacing="0" w:line="590" w:lineRule="exact"/>
        <w:ind w:left="360" w:right="0" w:hanging="36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利妥昔单抗可引心血管系统不良反应不包括哪个（ ）。</w:t>
      </w:r>
    </w:p>
    <w:p w14:paraId="572B536F">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480" w:firstLineChars="1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pt" w:eastAsia="zh-CN" w:bidi="ar"/>
        </w:rPr>
        <w:t xml:space="preserve">A </w:t>
      </w:r>
      <w:r>
        <w:rPr>
          <w:rFonts w:hint="eastAsia" w:ascii="仿宋_GB2312" w:hAnsi="仿宋_GB2312" w:eastAsia="仿宋_GB2312" w:cs="仿宋_GB2312"/>
          <w:kern w:val="2"/>
          <w:sz w:val="32"/>
          <w:szCs w:val="32"/>
          <w:lang w:val="en-US" w:eastAsia="zh-CN" w:bidi="ar"/>
        </w:rPr>
        <w:t>心律失常</w:t>
      </w:r>
    </w:p>
    <w:p w14:paraId="7C0DD8E9">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480" w:firstLineChars="1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pt" w:eastAsia="zh-CN" w:bidi="ar"/>
        </w:rPr>
        <w:t xml:space="preserve">B </w:t>
      </w:r>
      <w:r>
        <w:rPr>
          <w:rFonts w:hint="eastAsia" w:ascii="仿宋_GB2312" w:hAnsi="仿宋_GB2312" w:eastAsia="仿宋_GB2312" w:cs="仿宋_GB2312"/>
          <w:kern w:val="2"/>
          <w:sz w:val="32"/>
          <w:szCs w:val="32"/>
          <w:lang w:val="en-US" w:eastAsia="zh-CN" w:bidi="ar"/>
        </w:rPr>
        <w:t>直立性低血压</w:t>
      </w:r>
    </w:p>
    <w:p w14:paraId="5CE2149A">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480" w:firstLineChars="150"/>
        <w:jc w:val="both"/>
        <w:textAlignment w:val="auto"/>
        <w:rPr>
          <w:rFonts w:hint="eastAsia" w:ascii="仿宋_GB2312" w:hAnsi="仿宋_GB2312" w:eastAsia="仿宋_GB2312" w:cs="仿宋_GB2312"/>
          <w:sz w:val="32"/>
          <w:szCs w:val="32"/>
          <w:lang w:val="pt"/>
        </w:rPr>
      </w:pPr>
      <w:r>
        <w:rPr>
          <w:rFonts w:hint="eastAsia" w:ascii="仿宋_GB2312" w:hAnsi="仿宋_GB2312" w:eastAsia="仿宋_GB2312" w:cs="仿宋_GB2312"/>
          <w:kern w:val="2"/>
          <w:sz w:val="32"/>
          <w:szCs w:val="32"/>
          <w:lang w:val="pt" w:eastAsia="zh-CN" w:bidi="ar"/>
        </w:rPr>
        <w:t>C 高血压</w:t>
      </w:r>
    </w:p>
    <w:p w14:paraId="7C81B96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480" w:firstLineChars="150"/>
        <w:jc w:val="both"/>
        <w:textAlignment w:val="auto"/>
        <w:rPr>
          <w:rFonts w:hint="eastAsia" w:ascii="仿宋_GB2312" w:hAnsi="仿宋_GB2312" w:eastAsia="仿宋_GB2312" w:cs="仿宋_GB2312"/>
          <w:sz w:val="32"/>
          <w:szCs w:val="32"/>
          <w:lang w:val="pt"/>
        </w:rPr>
      </w:pPr>
      <w:r>
        <w:rPr>
          <w:rFonts w:hint="eastAsia" w:ascii="仿宋_GB2312" w:hAnsi="仿宋_GB2312" w:eastAsia="仿宋_GB2312" w:cs="仿宋_GB2312"/>
          <w:kern w:val="2"/>
          <w:sz w:val="32"/>
          <w:szCs w:val="32"/>
          <w:lang w:val="pt" w:eastAsia="zh-CN" w:bidi="ar"/>
        </w:rPr>
        <w:t>D 心悸</w:t>
      </w:r>
    </w:p>
    <w:p w14:paraId="620793A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9.患者发生低血压时处理正确的是（ ）。</w:t>
      </w:r>
    </w:p>
    <w:p w14:paraId="3D238C92">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A减慢滴速或暂停输入</w:t>
      </w:r>
    </w:p>
    <w:p w14:paraId="04D24F93">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160" w:firstLineChars="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 B吸氧</w:t>
      </w:r>
    </w:p>
    <w:p w14:paraId="1F571A8C">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C肾上腺素1mg静脉推注</w:t>
      </w:r>
    </w:p>
    <w:p w14:paraId="7D7ECD8A">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320" w:firstLineChars="1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D以上都是</w:t>
      </w:r>
    </w:p>
    <w:p w14:paraId="217584E3">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10．患者发生过敏性反应处理正确的是（ ）。</w:t>
      </w:r>
    </w:p>
    <w:p w14:paraId="4B29120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590" w:lineRule="exact"/>
        <w:ind w:left="0" w:right="0" w:firstLine="320" w:firstLineChars="100"/>
        <w:jc w:val="left"/>
        <w:textAlignment w:val="auto"/>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2"/>
          <w:sz w:val="32"/>
          <w:szCs w:val="32"/>
          <w:lang w:val="en-US" w:eastAsia="zh-CN" w:bidi="ar"/>
        </w:rPr>
        <w:t>A 用药前30分钟给予异丙嗪25-50mg肌注</w:t>
      </w:r>
    </w:p>
    <w:p w14:paraId="6CAB6FED">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firstLine="160" w:firstLineChars="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 B 地塞米松10-15mg静推</w:t>
      </w:r>
    </w:p>
    <w:p w14:paraId="466A0C67">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397" w:leftChars="113" w:right="0" w:hanging="160" w:hangingChars="5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C 口服解热镇痛药物</w:t>
      </w:r>
    </w:p>
    <w:p w14:paraId="5805ADA4">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  D 以上都是</w:t>
      </w:r>
    </w:p>
    <w:p w14:paraId="02C4CD4B">
      <w:pPr>
        <w:keepNext w:val="0"/>
        <w:keepLines w:val="0"/>
        <w:pageBreakBefore w:val="0"/>
        <w:widowControl w:val="0"/>
        <w:suppressLineNumbers w:val="0"/>
        <w:kinsoku/>
        <w:wordWrap/>
        <w:overflowPunct/>
        <w:topLinePunct w:val="0"/>
        <w:bidi w:val="0"/>
        <w:snapToGrid/>
        <w:spacing w:before="0" w:beforeAutospacing="0" w:after="0" w:afterAutospacing="0" w:line="590" w:lineRule="exact"/>
        <w:ind w:left="0" w:right="0"/>
        <w:jc w:val="both"/>
        <w:textAlignment w:val="auto"/>
        <w:rPr>
          <w:rFonts w:hint="eastAsia" w:ascii="仿宋_GB2312" w:hAnsi="仿宋_GB2312" w:eastAsia="仿宋_GB2312" w:cs="仿宋_GB2312"/>
          <w:sz w:val="32"/>
          <w:szCs w:val="32"/>
          <w:lang w:val="en-US"/>
        </w:rPr>
      </w:pPr>
    </w:p>
    <w:p w14:paraId="7801101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4"/>
          <w:szCs w:val="24"/>
          <w:lang w:val="en-US"/>
        </w:rPr>
      </w:pPr>
    </w:p>
    <w:p w14:paraId="700FE8AD">
      <w:pPr>
        <w:keepNext w:val="0"/>
        <w:keepLines w:val="0"/>
        <w:widowControl w:val="0"/>
        <w:suppressLineNumbers w:val="0"/>
        <w:spacing w:before="0" w:beforeAutospacing="0" w:after="0" w:afterAutospacing="0" w:line="360" w:lineRule="auto"/>
        <w:ind w:left="0" w:right="0" w:firstLine="240" w:firstLineChars="100"/>
        <w:jc w:val="both"/>
        <w:rPr>
          <w:rFonts w:hint="eastAsia" w:ascii="宋体" w:hAnsi="宋体" w:eastAsia="宋体" w:cs="宋体"/>
          <w:sz w:val="24"/>
          <w:szCs w:val="24"/>
          <w:lang w:val="en-US"/>
        </w:rPr>
      </w:pPr>
    </w:p>
    <w:p w14:paraId="4A962A67"/>
    <w:sectPr>
      <w:pgSz w:w="12240" w:h="15840"/>
      <w:pgMar w:top="1814" w:right="1587" w:bottom="1701" w:left="1587" w:header="720" w:footer="720"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SongStd-Light">
    <w:altName w:val="黑体"/>
    <w:panose1 w:val="00000000000000000000"/>
    <w:charset w:val="86"/>
    <w:family w:val="auto"/>
    <w:pitch w:val="default"/>
    <w:sig w:usb0="00000000" w:usb1="00000000" w:usb2="00000010" w:usb3="00000000" w:csb0="00040000" w:csb1="00000000"/>
  </w:font>
  <w:font w:name="ˎ̥">
    <w:altName w:val="Times New Roman"/>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34AF5"/>
    <w:multiLevelType w:val="singleLevel"/>
    <w:tmpl w:val="0D634AF5"/>
    <w:lvl w:ilvl="0" w:tentative="0">
      <w:start w:val="3"/>
      <w:numFmt w:val="decimal"/>
      <w:suff w:val="nothing"/>
      <w:lvlText w:val="（%1）"/>
      <w:lvlJc w:val="left"/>
    </w:lvl>
  </w:abstractNum>
  <w:abstractNum w:abstractNumId="1">
    <w:nsid w:val="45BD210A"/>
    <w:multiLevelType w:val="multilevel"/>
    <w:tmpl w:val="45BD210A"/>
    <w:lvl w:ilvl="0" w:tentative="0">
      <w:start w:val="1"/>
      <w:numFmt w:val="decimal"/>
      <w:lvlText w:val="%1."/>
      <w:lvlJc w:val="left"/>
      <w:pPr>
        <w:tabs>
          <w:tab w:val="left" w:pos="360"/>
        </w:tabs>
        <w:ind w:left="360" w:hanging="360"/>
      </w:pPr>
      <w:rPr>
        <w:color w:val="auto"/>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C6587F6"/>
    <w:multiLevelType w:val="singleLevel"/>
    <w:tmpl w:val="6C6587F6"/>
    <w:lvl w:ilvl="0" w:tentative="0">
      <w:start w:val="11"/>
      <w:numFmt w:val="chineseCounting"/>
      <w:suff w:val="space"/>
      <w:lvlText w:val="第%1讲"/>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3617B"/>
    <w:rsid w:val="06F074A7"/>
    <w:rsid w:val="0D3934BC"/>
    <w:rsid w:val="0E0B68B5"/>
    <w:rsid w:val="12F57EA8"/>
    <w:rsid w:val="15324B7F"/>
    <w:rsid w:val="16434F81"/>
    <w:rsid w:val="16EF682E"/>
    <w:rsid w:val="1825223E"/>
    <w:rsid w:val="1E4811E2"/>
    <w:rsid w:val="1F1B5029"/>
    <w:rsid w:val="24632543"/>
    <w:rsid w:val="26D0572E"/>
    <w:rsid w:val="29AD1519"/>
    <w:rsid w:val="2D49281E"/>
    <w:rsid w:val="341F5D60"/>
    <w:rsid w:val="36603768"/>
    <w:rsid w:val="36984E02"/>
    <w:rsid w:val="37302AE8"/>
    <w:rsid w:val="3EA61169"/>
    <w:rsid w:val="3F131331"/>
    <w:rsid w:val="3F8A1578"/>
    <w:rsid w:val="417C19F7"/>
    <w:rsid w:val="41F11C40"/>
    <w:rsid w:val="45353D50"/>
    <w:rsid w:val="47DF2500"/>
    <w:rsid w:val="4A0C5C06"/>
    <w:rsid w:val="4B432EE3"/>
    <w:rsid w:val="55BF7FD9"/>
    <w:rsid w:val="587142A3"/>
    <w:rsid w:val="5C6E0D50"/>
    <w:rsid w:val="5DFB5A46"/>
    <w:rsid w:val="5E3012B5"/>
    <w:rsid w:val="5F7676EB"/>
    <w:rsid w:val="6CA27F38"/>
    <w:rsid w:val="6D7837EA"/>
    <w:rsid w:val="72014385"/>
    <w:rsid w:val="720224A7"/>
    <w:rsid w:val="73531354"/>
    <w:rsid w:val="75262F89"/>
    <w:rsid w:val="755B06E5"/>
    <w:rsid w:val="7E7E71B2"/>
    <w:rsid w:val="7FFC6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3912</Words>
  <Characters>4097</Characters>
  <Lines>0</Lines>
  <Paragraphs>0</Paragraphs>
  <TotalTime>26</TotalTime>
  <ScaleCrop>false</ScaleCrop>
  <LinksUpToDate>false</LinksUpToDate>
  <CharactersWithSpaces>4244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2024-03-19T03:45:00Z</dcterms:created>
  <dc:creator>TY</dc:creator>
  <cp:lastModifiedBy>lenovo</cp:lastModifiedBy>
  <dcterms:modified xsi:type="dcterms:W3CDTF">2025-09-29T09:00:02Z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50A2F81380924E1DB10AFEF82BC3CEEB_13</vt:lpwstr>
  </property>
  <property fmtid="{D5CDD505-2E9C-101B-9397-08002B2CF9AE}" pid="4" name="KSOTemplateDocerSaveRecord">
    <vt:lpwstr>eyJoZGlkIjoiMDAxYmE2ZWJmM2RkM2I4YjQwM2FjMjkzN2EyMTE1MGUifQ==</vt:lpwstr>
  </property>
</Properties>
</file>